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F1" w:rsidRPr="005B6A4C" w:rsidRDefault="005B6A4C" w:rsidP="005B6A4C">
      <w:pPr>
        <w:jc w:val="right"/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>Name: __________________________________________</w:t>
      </w:r>
    </w:p>
    <w:p w:rsidR="00B60FF1" w:rsidRPr="005B6A4C" w:rsidRDefault="00B60FF1" w:rsidP="00A35B80">
      <w:pPr>
        <w:rPr>
          <w:rFonts w:ascii="Maiandra GD" w:hAnsi="Maiandra GD"/>
          <w:sz w:val="10"/>
        </w:rPr>
      </w:pPr>
    </w:p>
    <w:p w:rsidR="00A35B80" w:rsidRPr="005B6A4C" w:rsidRDefault="00A35B80" w:rsidP="00A35B80">
      <w:pPr>
        <w:rPr>
          <w:rFonts w:ascii="Maiandra GD" w:hAnsi="Maiandra GD"/>
          <w:sz w:val="20"/>
        </w:rPr>
      </w:pPr>
      <w:r w:rsidRPr="005B6A4C">
        <w:rPr>
          <w:rFonts w:ascii="Maiandra GD" w:hAnsi="Maiandra GD"/>
          <w:i/>
        </w:rPr>
        <w:t xml:space="preserve">A </w:t>
      </w:r>
      <w:r w:rsidRPr="005B6A4C">
        <w:rPr>
          <w:rFonts w:ascii="Maiandra GD" w:hAnsi="Maiandra GD"/>
          <w:b/>
          <w:i/>
          <w:u w:val="single"/>
        </w:rPr>
        <w:t>speech</w:t>
      </w:r>
      <w:r w:rsidRPr="005B6A4C">
        <w:rPr>
          <w:rFonts w:ascii="Maiandra GD" w:hAnsi="Maiandra GD"/>
          <w:i/>
        </w:rPr>
        <w:t xml:space="preserve"> is a nonfiction work that is delivered to an audience</w:t>
      </w:r>
      <w:r w:rsidRPr="005B6A4C">
        <w:rPr>
          <w:rFonts w:ascii="Maiandra GD" w:hAnsi="Maiandra GD"/>
          <w:sz w:val="20"/>
        </w:rPr>
        <w:t>. Common types of speeches (refer to Text p. 198 to define)</w:t>
      </w:r>
    </w:p>
    <w:p w:rsidR="00A35B80" w:rsidRPr="005B6A4C" w:rsidRDefault="00A35B80" w:rsidP="00A35B80">
      <w:pPr>
        <w:rPr>
          <w:rFonts w:ascii="Maiandra GD" w:hAnsi="Maiandra GD"/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70"/>
      </w:tblGrid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Political Speech</w:t>
            </w:r>
          </w:p>
          <w:p w:rsidR="00B60FF1" w:rsidRPr="005B6A4C" w:rsidRDefault="00B60FF1" w:rsidP="00CF1621">
            <w:pPr>
              <w:jc w:val="center"/>
              <w:rPr>
                <w:rFonts w:ascii="Maiandra GD" w:hAnsi="Maiandra GD"/>
                <w:b/>
                <w:sz w:val="14"/>
              </w:rPr>
            </w:pPr>
          </w:p>
          <w:p w:rsidR="00A35B80" w:rsidRPr="005B6A4C" w:rsidRDefault="00A35B80" w:rsidP="00B60FF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Address</w:t>
            </w:r>
          </w:p>
          <w:p w:rsidR="00B60FF1" w:rsidRPr="005B6A4C" w:rsidRDefault="00B60FF1" w:rsidP="00CF1621">
            <w:pPr>
              <w:jc w:val="center"/>
              <w:rPr>
                <w:rFonts w:ascii="Maiandra GD" w:hAnsi="Maiandra GD"/>
                <w:b/>
                <w:sz w:val="14"/>
              </w:rPr>
            </w:pPr>
          </w:p>
          <w:p w:rsidR="00A35B80" w:rsidRPr="005B6A4C" w:rsidRDefault="00A35B80" w:rsidP="00B60FF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Sermon</w:t>
            </w:r>
          </w:p>
          <w:p w:rsidR="00B60FF1" w:rsidRPr="005B6A4C" w:rsidRDefault="00B60FF1" w:rsidP="00CF1621">
            <w:pPr>
              <w:jc w:val="center"/>
              <w:rPr>
                <w:rFonts w:ascii="Maiandra GD" w:hAnsi="Maiandra GD"/>
                <w:b/>
                <w:sz w:val="14"/>
              </w:rPr>
            </w:pPr>
          </w:p>
          <w:p w:rsidR="00A35B80" w:rsidRPr="005B6A4C" w:rsidRDefault="00A35B80" w:rsidP="00B60FF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</w:tbl>
    <w:p w:rsidR="00A35B80" w:rsidRPr="005B6A4C" w:rsidRDefault="007107C6" w:rsidP="00A35B80">
      <w:pPr>
        <w:rPr>
          <w:rFonts w:ascii="Maiandra GD" w:hAnsi="Maiandra GD"/>
        </w:rPr>
      </w:pPr>
      <w:r w:rsidRPr="005B6A4C">
        <w:rPr>
          <w:rFonts w:ascii="Maiandra GD" w:hAnsi="Maiandra GD"/>
        </w:rPr>
        <w:t>*</w:t>
      </w:r>
      <w:r w:rsidRPr="005B6A4C">
        <w:rPr>
          <w:rFonts w:ascii="Maiandra GD" w:hAnsi="Maiandra GD"/>
          <w:u w:val="single"/>
        </w:rPr>
        <w:t>Epistle</w:t>
      </w:r>
      <w:r w:rsidRPr="005B6A4C">
        <w:rPr>
          <w:rFonts w:ascii="Maiandra GD" w:hAnsi="Maiandra GD"/>
        </w:rPr>
        <w:t xml:space="preserve"> (p. 215) – </w:t>
      </w:r>
      <w:r w:rsidR="006D4905" w:rsidRPr="005B6A4C">
        <w:rPr>
          <w:rFonts w:ascii="Maiandra GD" w:hAnsi="Maiandra GD"/>
        </w:rPr>
        <w:t xml:space="preserve"> </w:t>
      </w:r>
      <w:r w:rsidRPr="005B6A4C">
        <w:rPr>
          <w:rFonts w:ascii="Maiandra GD" w:hAnsi="Maiandra GD"/>
          <w:i/>
        </w:rPr>
        <w:t>essays written in letter form; “public letters” intended for a wide audience</w:t>
      </w:r>
    </w:p>
    <w:p w:rsidR="007107C6" w:rsidRPr="005B6A4C" w:rsidRDefault="007107C6" w:rsidP="00A35B80">
      <w:pPr>
        <w:rPr>
          <w:rFonts w:ascii="Maiandra GD" w:hAnsi="Maiandra GD"/>
          <w:b/>
          <w:i/>
          <w:sz w:val="12"/>
          <w:u w:val="single"/>
        </w:rPr>
      </w:pPr>
    </w:p>
    <w:p w:rsidR="00A35B80" w:rsidRPr="005B6A4C" w:rsidRDefault="00A35B80" w:rsidP="00A35B80">
      <w:pPr>
        <w:rPr>
          <w:rFonts w:ascii="Maiandra GD" w:hAnsi="Maiandra GD"/>
          <w:sz w:val="20"/>
        </w:rPr>
      </w:pPr>
      <w:r w:rsidRPr="005B6A4C">
        <w:rPr>
          <w:rFonts w:ascii="Maiandra GD" w:hAnsi="Maiandra GD"/>
          <w:b/>
          <w:i/>
          <w:u w:val="single"/>
        </w:rPr>
        <w:t>Rhetorical Devices</w:t>
      </w:r>
      <w:r w:rsidRPr="005B6A4C">
        <w:rPr>
          <w:rFonts w:ascii="Maiandra GD" w:hAnsi="Maiandra GD"/>
          <w:b/>
          <w:i/>
        </w:rPr>
        <w:t xml:space="preserve"> </w:t>
      </w:r>
      <w:r w:rsidRPr="005B6A4C">
        <w:rPr>
          <w:rFonts w:ascii="Maiandra GD" w:hAnsi="Maiandra GD"/>
          <w:i/>
        </w:rPr>
        <w:t>are</w:t>
      </w:r>
      <w:r w:rsidRPr="005B6A4C">
        <w:rPr>
          <w:rFonts w:ascii="Maiandra GD" w:hAnsi="Maiandra GD"/>
          <w:b/>
          <w:i/>
        </w:rPr>
        <w:t xml:space="preserve"> s</w:t>
      </w:r>
      <w:r w:rsidRPr="005B6A4C">
        <w:rPr>
          <w:rFonts w:ascii="Maiandra GD" w:hAnsi="Maiandra GD"/>
          <w:i/>
        </w:rPr>
        <w:t>pecial patterns of words and ideas that create emphasis and stir the audience</w:t>
      </w:r>
      <w:r w:rsidRPr="005B6A4C">
        <w:rPr>
          <w:rFonts w:ascii="Maiandra GD" w:hAnsi="Maiandra GD"/>
          <w:b/>
        </w:rPr>
        <w:t xml:space="preserve"> </w:t>
      </w:r>
      <w:r w:rsidRPr="005B6A4C">
        <w:rPr>
          <w:rFonts w:ascii="Maiandra GD" w:hAnsi="Maiandra GD"/>
          <w:sz w:val="20"/>
        </w:rPr>
        <w:t>(refer to Text p. 199)</w:t>
      </w:r>
    </w:p>
    <w:p w:rsidR="00A35B80" w:rsidRPr="005B6A4C" w:rsidRDefault="00A35B80" w:rsidP="00A35B80">
      <w:pPr>
        <w:rPr>
          <w:rFonts w:ascii="Maiandra GD" w:hAnsi="Maiandra GD"/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70"/>
      </w:tblGrid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Rhetorical Device</w:t>
            </w:r>
          </w:p>
        </w:tc>
        <w:tc>
          <w:tcPr>
            <w:tcW w:w="8370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Definition</w:t>
            </w:r>
          </w:p>
        </w:tc>
      </w:tr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Repetition</w:t>
            </w:r>
          </w:p>
          <w:p w:rsidR="00B60FF1" w:rsidRPr="005B6A4C" w:rsidRDefault="00B60FF1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Restatement</w:t>
            </w:r>
          </w:p>
          <w:p w:rsidR="00B60FF1" w:rsidRPr="005B6A4C" w:rsidRDefault="00B60FF1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Parallelism</w:t>
            </w:r>
          </w:p>
          <w:p w:rsidR="00B60FF1" w:rsidRPr="005B6A4C" w:rsidRDefault="00B60FF1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Antithesis</w:t>
            </w:r>
          </w:p>
          <w:p w:rsidR="00B60FF1" w:rsidRPr="005B6A4C" w:rsidRDefault="00B60FF1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Rhetorical Questions</w:t>
            </w: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</w:tbl>
    <w:p w:rsidR="00A35B80" w:rsidRPr="005B6A4C" w:rsidRDefault="00A35B80" w:rsidP="00A35B80">
      <w:pPr>
        <w:rPr>
          <w:rFonts w:ascii="Maiandra GD" w:hAnsi="Maiandra GD"/>
          <w:b/>
          <w:sz w:val="20"/>
        </w:rPr>
      </w:pPr>
    </w:p>
    <w:p w:rsidR="00A35B80" w:rsidRPr="005B6A4C" w:rsidRDefault="00A35B80" w:rsidP="00A35B80">
      <w:pPr>
        <w:rPr>
          <w:rFonts w:ascii="Maiandra GD" w:hAnsi="Maiandra GD"/>
          <w:sz w:val="20"/>
        </w:rPr>
      </w:pPr>
      <w:r w:rsidRPr="005B6A4C">
        <w:rPr>
          <w:rFonts w:ascii="Maiandra GD" w:hAnsi="Maiandra GD"/>
          <w:b/>
          <w:i/>
          <w:u w:val="single"/>
        </w:rPr>
        <w:t>Persuasive Techniques</w:t>
      </w:r>
      <w:r w:rsidRPr="005B6A4C">
        <w:rPr>
          <w:rFonts w:ascii="Maiandra GD" w:hAnsi="Maiandra GD"/>
          <w:b/>
          <w:i/>
        </w:rPr>
        <w:t xml:space="preserve"> are </w:t>
      </w:r>
      <w:r w:rsidRPr="005B6A4C">
        <w:rPr>
          <w:rFonts w:ascii="Maiandra GD" w:hAnsi="Maiandra GD"/>
          <w:i/>
        </w:rPr>
        <w:t xml:space="preserve">methods that a speaker or writer uses to appeal to the </w:t>
      </w:r>
      <w:r w:rsidRPr="005B6A4C">
        <w:rPr>
          <w:rFonts w:ascii="Maiandra GD" w:hAnsi="Maiandra GD"/>
          <w:i/>
          <w:sz w:val="20"/>
        </w:rPr>
        <w:t>audience</w:t>
      </w:r>
      <w:r w:rsidRPr="005B6A4C">
        <w:rPr>
          <w:rFonts w:ascii="Maiandra GD" w:hAnsi="Maiandra GD"/>
          <w:sz w:val="20"/>
        </w:rPr>
        <w:t xml:space="preserve"> (refer to Text p. 198)</w:t>
      </w:r>
    </w:p>
    <w:p w:rsidR="00A35B80" w:rsidRPr="005B6A4C" w:rsidRDefault="00A35B80" w:rsidP="00A35B80">
      <w:pPr>
        <w:rPr>
          <w:rFonts w:ascii="Maiandra GD" w:hAnsi="Maiandra GD"/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70"/>
      </w:tblGrid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Logical Appeals</w:t>
            </w: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(Logos)</w:t>
            </w: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Emotional Appeals</w:t>
            </w: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(Pathos)</w:t>
            </w: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  <w:tr w:rsidR="00A35B80" w:rsidRPr="005B6A4C" w:rsidTr="00CF1621">
        <w:tc>
          <w:tcPr>
            <w:tcW w:w="2358" w:type="dxa"/>
          </w:tcPr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Ethical Appeals</w:t>
            </w: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  <w:r w:rsidRPr="005B6A4C">
              <w:rPr>
                <w:rFonts w:ascii="Maiandra GD" w:hAnsi="Maiandra GD"/>
                <w:b/>
              </w:rPr>
              <w:t>(Ethos)</w:t>
            </w:r>
          </w:p>
          <w:p w:rsidR="00A35B80" w:rsidRPr="005B6A4C" w:rsidRDefault="00A35B80" w:rsidP="00CF162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370" w:type="dxa"/>
          </w:tcPr>
          <w:p w:rsidR="00A35B80" w:rsidRPr="005B6A4C" w:rsidRDefault="00A35B80" w:rsidP="00CF1621">
            <w:pPr>
              <w:rPr>
                <w:rFonts w:ascii="Maiandra GD" w:hAnsi="Maiandra GD"/>
                <w:b/>
              </w:rPr>
            </w:pPr>
          </w:p>
        </w:tc>
      </w:tr>
    </w:tbl>
    <w:p w:rsidR="00A73774" w:rsidRPr="005B6A4C" w:rsidRDefault="00A73774" w:rsidP="00B60FF1">
      <w:pPr>
        <w:rPr>
          <w:sz w:val="20"/>
        </w:rPr>
      </w:pPr>
    </w:p>
    <w:sectPr w:rsidR="00A73774" w:rsidRPr="005B6A4C" w:rsidSect="00B60FF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80"/>
    <w:rsid w:val="003F0DFE"/>
    <w:rsid w:val="005B6A4C"/>
    <w:rsid w:val="006D4905"/>
    <w:rsid w:val="007107C6"/>
    <w:rsid w:val="00A35B80"/>
    <w:rsid w:val="00A73774"/>
    <w:rsid w:val="00B60FF1"/>
    <w:rsid w:val="00D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4E09"/>
  <w15:docId w15:val="{59D1E115-BFE3-49B1-8125-E3B95046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9</cp:revision>
  <cp:lastPrinted>2014-09-23T14:44:00Z</cp:lastPrinted>
  <dcterms:created xsi:type="dcterms:W3CDTF">2013-09-11T13:51:00Z</dcterms:created>
  <dcterms:modified xsi:type="dcterms:W3CDTF">2017-02-07T17:23:00Z</dcterms:modified>
</cp:coreProperties>
</file>